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5"/>
        <w:gridCol w:w="9540"/>
      </w:tblGrid>
      <w:tr w:rsidR="006E1631" w:rsidRPr="006E1631" w:rsidTr="002E279B">
        <w:trPr>
          <w:tblCellSpacing w:w="0" w:type="dxa"/>
        </w:trPr>
        <w:tc>
          <w:tcPr>
            <w:tcW w:w="10815" w:type="dxa"/>
            <w:gridSpan w:val="2"/>
            <w:tcBorders>
              <w:top w:val="outset" w:sz="6" w:space="0" w:color="D0D7E5"/>
              <w:left w:val="outset" w:sz="6" w:space="0" w:color="D0D7E5"/>
              <w:bottom w:val="outset" w:sz="6" w:space="0" w:color="D0D7E5"/>
              <w:right w:val="outset" w:sz="6" w:space="0" w:color="D0D7E5"/>
            </w:tcBorders>
            <w:shd w:val="clear" w:color="auto" w:fill="808080" w:themeFill="background1" w:themeFillShade="80"/>
          </w:tcPr>
          <w:p w:rsidR="006E1631" w:rsidRPr="006E1631" w:rsidRDefault="006E1631" w:rsidP="006E1631">
            <w:pPr>
              <w:spacing w:after="0" w:line="240" w:lineRule="auto"/>
              <w:jc w:val="center"/>
              <w:rPr>
                <w:rFonts w:ascii="Calibri" w:eastAsia="Times New Roman" w:hAnsi="Calibri" w:cs="Calibri"/>
                <w:b/>
                <w:color w:val="FFFFFF" w:themeColor="background1"/>
                <w:sz w:val="28"/>
                <w:szCs w:val="28"/>
              </w:rPr>
            </w:pPr>
            <w:r w:rsidRPr="006E1631">
              <w:rPr>
                <w:rFonts w:ascii="Calibri" w:eastAsia="Times New Roman" w:hAnsi="Calibri" w:cs="Calibri"/>
                <w:b/>
                <w:color w:val="FFFFFF" w:themeColor="background1"/>
                <w:sz w:val="28"/>
                <w:szCs w:val="28"/>
              </w:rPr>
              <w:t>HS Indicators</w:t>
            </w:r>
          </w:p>
          <w:p w:rsidR="006E1631" w:rsidRPr="006E1631" w:rsidRDefault="006E1631" w:rsidP="006E1631">
            <w:pPr>
              <w:spacing w:after="0" w:line="240" w:lineRule="auto"/>
              <w:jc w:val="center"/>
              <w:rPr>
                <w:rFonts w:ascii="Calibri" w:eastAsia="Times New Roman" w:hAnsi="Calibri" w:cs="Calibri"/>
                <w:color w:val="000000"/>
              </w:rPr>
            </w:pPr>
          </w:p>
        </w:tc>
      </w:tr>
      <w:tr w:rsidR="006E1631" w:rsidRPr="006E1631" w:rsidTr="002E27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BFBFBF" w:themeFill="background1" w:themeFillShade="BF"/>
          </w:tcPr>
          <w:p w:rsidR="006E1631" w:rsidRPr="006E1631" w:rsidRDefault="006E1631" w:rsidP="006E1631">
            <w:pPr>
              <w:spacing w:after="0" w:line="240" w:lineRule="auto"/>
              <w:jc w:val="center"/>
              <w:rPr>
                <w:rFonts w:ascii="Calibri" w:eastAsia="Times New Roman" w:hAnsi="Calibri" w:cs="Calibri"/>
                <w:b/>
                <w:color w:val="000000"/>
              </w:rPr>
            </w:pPr>
            <w:r w:rsidRPr="006E1631">
              <w:rPr>
                <w:rFonts w:ascii="Calibri" w:eastAsia="Times New Roman" w:hAnsi="Calibri" w:cs="Calibri"/>
                <w:b/>
                <w:color w:val="000000"/>
              </w:rPr>
              <w:t>Indicator ID</w:t>
            </w:r>
          </w:p>
        </w:tc>
        <w:tc>
          <w:tcPr>
            <w:tcW w:w="9540" w:type="dxa"/>
            <w:tcBorders>
              <w:top w:val="outset" w:sz="6" w:space="0" w:color="D0D7E5"/>
              <w:left w:val="outset" w:sz="6" w:space="0" w:color="D0D7E5"/>
              <w:bottom w:val="outset" w:sz="6" w:space="0" w:color="D0D7E5"/>
              <w:right w:val="outset" w:sz="6" w:space="0" w:color="D0D7E5"/>
            </w:tcBorders>
            <w:shd w:val="clear" w:color="auto" w:fill="BFBFBF" w:themeFill="background1" w:themeFillShade="BF"/>
          </w:tcPr>
          <w:p w:rsidR="006E1631" w:rsidRPr="006E1631" w:rsidRDefault="006E1631" w:rsidP="006E1631">
            <w:pPr>
              <w:spacing w:after="0" w:line="240" w:lineRule="auto"/>
              <w:jc w:val="center"/>
              <w:rPr>
                <w:rFonts w:ascii="Calibri" w:eastAsia="Times New Roman" w:hAnsi="Calibri" w:cs="Calibri"/>
                <w:b/>
                <w:color w:val="000000"/>
              </w:rPr>
            </w:pPr>
            <w:r w:rsidRPr="006E1631">
              <w:rPr>
                <w:rFonts w:ascii="Calibri" w:eastAsia="Times New Roman" w:hAnsi="Calibri" w:cs="Calibri"/>
                <w:b/>
                <w:color w:val="000000"/>
              </w:rPr>
              <w:t>Team Structure</w:t>
            </w:r>
          </w:p>
        </w:tc>
      </w:tr>
      <w:tr w:rsidR="006E1631" w:rsidRPr="006E1631" w:rsidTr="002E27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jc w:val="right"/>
              <w:rPr>
                <w:rFonts w:ascii="Times New Roman" w:eastAsia="Times New Roman" w:hAnsi="Times New Roman" w:cs="Times New Roman"/>
                <w:sz w:val="24"/>
                <w:szCs w:val="24"/>
              </w:rPr>
            </w:pPr>
            <w:r w:rsidRPr="006E1631">
              <w:rPr>
                <w:rFonts w:ascii="Calibri" w:eastAsia="Times New Roman" w:hAnsi="Calibri" w:cs="Calibri"/>
                <w:color w:val="000000"/>
              </w:rPr>
              <w:t>2354</w:t>
            </w:r>
          </w:p>
        </w:tc>
        <w:tc>
          <w:tcPr>
            <w:tcW w:w="9540"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rPr>
                <w:rFonts w:ascii="Times New Roman" w:eastAsia="Times New Roman" w:hAnsi="Times New Roman" w:cs="Times New Roman"/>
                <w:sz w:val="24"/>
                <w:szCs w:val="24"/>
              </w:rPr>
            </w:pPr>
            <w:r w:rsidRPr="006E1631">
              <w:rPr>
                <w:rFonts w:ascii="Calibri" w:eastAsia="Times New Roman" w:hAnsi="Calibri" w:cs="Calibri"/>
                <w:color w:val="000000"/>
              </w:rPr>
              <w:t>The Leadership Team regularly examines individual and collective student data (e.g., course grades and completion, overall grade point average, attendance rates, behavior referrals, suspensions, end-of-course exams, state exam results) to identify areas for improvement across all content areas and throughout the school.</w:t>
            </w:r>
          </w:p>
        </w:tc>
      </w:tr>
      <w:tr w:rsidR="006E1631" w:rsidRPr="006E1631" w:rsidTr="002E27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jc w:val="right"/>
              <w:rPr>
                <w:rFonts w:ascii="Times New Roman" w:eastAsia="Times New Roman" w:hAnsi="Times New Roman" w:cs="Times New Roman"/>
                <w:sz w:val="24"/>
                <w:szCs w:val="24"/>
              </w:rPr>
            </w:pPr>
            <w:r w:rsidRPr="006E1631">
              <w:rPr>
                <w:rFonts w:ascii="Calibri" w:eastAsia="Times New Roman" w:hAnsi="Calibri" w:cs="Calibri"/>
                <w:color w:val="000000"/>
              </w:rPr>
              <w:t>2355</w:t>
            </w:r>
          </w:p>
        </w:tc>
        <w:tc>
          <w:tcPr>
            <w:tcW w:w="9540"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rPr>
                <w:rFonts w:ascii="Times New Roman" w:eastAsia="Times New Roman" w:hAnsi="Times New Roman" w:cs="Times New Roman"/>
                <w:sz w:val="24"/>
                <w:szCs w:val="24"/>
              </w:rPr>
            </w:pPr>
            <w:r w:rsidRPr="006E1631">
              <w:rPr>
                <w:rFonts w:ascii="Calibri" w:eastAsia="Times New Roman" w:hAnsi="Calibri" w:cs="Calibri"/>
                <w:color w:val="000000"/>
              </w:rPr>
              <w:t>The Leadership Team monitors rates of student transfer, dropout, graduation, and post-high school outcome (e.g., student enrollment in college, students in careers) using a longitudinal data system.</w:t>
            </w:r>
          </w:p>
        </w:tc>
      </w:tr>
      <w:tr w:rsidR="006E1631" w:rsidRPr="006E1631" w:rsidTr="002E27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jc w:val="right"/>
              <w:rPr>
                <w:rFonts w:ascii="Times New Roman" w:eastAsia="Times New Roman" w:hAnsi="Times New Roman" w:cs="Times New Roman"/>
                <w:sz w:val="24"/>
                <w:szCs w:val="24"/>
              </w:rPr>
            </w:pPr>
            <w:r w:rsidRPr="006E1631">
              <w:rPr>
                <w:rFonts w:ascii="Calibri" w:eastAsia="Times New Roman" w:hAnsi="Calibri" w:cs="Calibri"/>
                <w:color w:val="000000"/>
              </w:rPr>
              <w:t>2356</w:t>
            </w:r>
          </w:p>
        </w:tc>
        <w:tc>
          <w:tcPr>
            <w:tcW w:w="9540"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rPr>
                <w:rFonts w:ascii="Times New Roman" w:eastAsia="Times New Roman" w:hAnsi="Times New Roman" w:cs="Times New Roman"/>
                <w:sz w:val="24"/>
                <w:szCs w:val="24"/>
              </w:rPr>
            </w:pPr>
            <w:r w:rsidRPr="006E1631">
              <w:rPr>
                <w:rFonts w:ascii="Calibri" w:eastAsia="Times New Roman" w:hAnsi="Calibri" w:cs="Calibri"/>
                <w:color w:val="000000"/>
              </w:rPr>
              <w:t>The Leadership Team implements, monitors, and analyzes results from an early warning system at the school level using indicators (e.g., attendance, academic, behavior monitoring) to identify students at risk for dropping out of high school.</w:t>
            </w:r>
          </w:p>
        </w:tc>
        <w:bookmarkStart w:id="0" w:name="_GoBack"/>
        <w:bookmarkEnd w:id="0"/>
      </w:tr>
      <w:tr w:rsidR="006E1631" w:rsidRPr="006E1631" w:rsidTr="002E27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BFBFBF" w:themeFill="background1" w:themeFillShade="BF"/>
          </w:tcPr>
          <w:p w:rsidR="006E1631" w:rsidRPr="006E1631" w:rsidRDefault="006E1631" w:rsidP="006E1631">
            <w:pPr>
              <w:spacing w:after="0" w:line="240" w:lineRule="auto"/>
              <w:jc w:val="center"/>
              <w:rPr>
                <w:rFonts w:ascii="Calibri" w:eastAsia="Times New Roman" w:hAnsi="Calibri" w:cs="Calibri"/>
                <w:b/>
                <w:color w:val="000000"/>
              </w:rPr>
            </w:pPr>
          </w:p>
        </w:tc>
        <w:tc>
          <w:tcPr>
            <w:tcW w:w="9540" w:type="dxa"/>
            <w:tcBorders>
              <w:top w:val="outset" w:sz="6" w:space="0" w:color="D0D7E5"/>
              <w:left w:val="outset" w:sz="6" w:space="0" w:color="D0D7E5"/>
              <w:bottom w:val="outset" w:sz="6" w:space="0" w:color="D0D7E5"/>
              <w:right w:val="outset" w:sz="6" w:space="0" w:color="D0D7E5"/>
            </w:tcBorders>
            <w:shd w:val="clear" w:color="auto" w:fill="BFBFBF" w:themeFill="background1" w:themeFillShade="BF"/>
          </w:tcPr>
          <w:p w:rsidR="006E1631" w:rsidRPr="006E1631" w:rsidRDefault="006E1631" w:rsidP="006E1631">
            <w:pPr>
              <w:spacing w:after="0" w:line="240" w:lineRule="auto"/>
              <w:jc w:val="center"/>
              <w:rPr>
                <w:rFonts w:ascii="Calibri" w:eastAsia="Times New Roman" w:hAnsi="Calibri" w:cs="Calibri"/>
                <w:b/>
                <w:color w:val="000000"/>
              </w:rPr>
            </w:pPr>
            <w:r>
              <w:rPr>
                <w:rFonts w:ascii="Calibri" w:eastAsia="Times New Roman" w:hAnsi="Calibri" w:cs="Calibri"/>
                <w:b/>
                <w:color w:val="000000"/>
              </w:rPr>
              <w:t>Principal’s Role</w:t>
            </w:r>
          </w:p>
        </w:tc>
      </w:tr>
      <w:tr w:rsidR="006E1631" w:rsidRPr="006E1631" w:rsidTr="002E27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jc w:val="right"/>
              <w:rPr>
                <w:rFonts w:ascii="Times New Roman" w:eastAsia="Times New Roman" w:hAnsi="Times New Roman" w:cs="Times New Roman"/>
                <w:sz w:val="24"/>
                <w:szCs w:val="24"/>
              </w:rPr>
            </w:pPr>
            <w:r w:rsidRPr="006E1631">
              <w:rPr>
                <w:rFonts w:ascii="Calibri" w:eastAsia="Times New Roman" w:hAnsi="Calibri" w:cs="Calibri"/>
                <w:color w:val="000000"/>
              </w:rPr>
              <w:t>2357</w:t>
            </w:r>
          </w:p>
        </w:tc>
        <w:tc>
          <w:tcPr>
            <w:tcW w:w="9540"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rPr>
                <w:rFonts w:ascii="Times New Roman" w:eastAsia="Times New Roman" w:hAnsi="Times New Roman" w:cs="Times New Roman"/>
                <w:sz w:val="24"/>
                <w:szCs w:val="24"/>
              </w:rPr>
            </w:pPr>
            <w:r w:rsidRPr="006E1631">
              <w:rPr>
                <w:rFonts w:ascii="Calibri" w:eastAsia="Times New Roman" w:hAnsi="Calibri" w:cs="Calibri"/>
                <w:color w:val="000000"/>
              </w:rPr>
              <w:t>The traditional roles of the principal and other administrators (e.g., management, discipline, security) are distributed to allow adequate time for administrative attention to instruction and student supports.</w:t>
            </w:r>
          </w:p>
        </w:tc>
      </w:tr>
      <w:tr w:rsidR="006E1631" w:rsidRPr="006E1631" w:rsidTr="002E27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BFBFBF" w:themeFill="background1" w:themeFillShade="BF"/>
          </w:tcPr>
          <w:p w:rsidR="006E1631" w:rsidRPr="006E1631" w:rsidRDefault="006E1631" w:rsidP="006E1631">
            <w:pPr>
              <w:spacing w:after="0" w:line="240" w:lineRule="auto"/>
              <w:jc w:val="center"/>
              <w:rPr>
                <w:rFonts w:ascii="Calibri" w:eastAsia="Times New Roman" w:hAnsi="Calibri" w:cs="Calibri"/>
                <w:b/>
                <w:color w:val="000000"/>
              </w:rPr>
            </w:pPr>
          </w:p>
        </w:tc>
        <w:tc>
          <w:tcPr>
            <w:tcW w:w="9540" w:type="dxa"/>
            <w:tcBorders>
              <w:top w:val="outset" w:sz="6" w:space="0" w:color="D0D7E5"/>
              <w:left w:val="outset" w:sz="6" w:space="0" w:color="D0D7E5"/>
              <w:bottom w:val="outset" w:sz="6" w:space="0" w:color="D0D7E5"/>
              <w:right w:val="outset" w:sz="6" w:space="0" w:color="D0D7E5"/>
            </w:tcBorders>
            <w:shd w:val="clear" w:color="auto" w:fill="BFBFBF" w:themeFill="background1" w:themeFillShade="BF"/>
          </w:tcPr>
          <w:p w:rsidR="006E1631" w:rsidRDefault="006E1631" w:rsidP="006E1631">
            <w:pPr>
              <w:spacing w:after="0" w:line="240" w:lineRule="auto"/>
              <w:jc w:val="center"/>
              <w:rPr>
                <w:rFonts w:ascii="Calibri" w:eastAsia="Times New Roman" w:hAnsi="Calibri" w:cs="Calibri"/>
                <w:b/>
                <w:color w:val="000000"/>
              </w:rPr>
            </w:pPr>
            <w:r>
              <w:rPr>
                <w:rFonts w:ascii="Calibri" w:eastAsia="Times New Roman" w:hAnsi="Calibri" w:cs="Calibri"/>
                <w:b/>
                <w:color w:val="000000"/>
              </w:rPr>
              <w:t>Opportunity to Learn</w:t>
            </w:r>
          </w:p>
          <w:p w:rsidR="006E1631" w:rsidRPr="006E1631" w:rsidRDefault="006E1631" w:rsidP="006E1631">
            <w:pPr>
              <w:spacing w:after="0" w:line="240" w:lineRule="auto"/>
              <w:jc w:val="center"/>
              <w:rPr>
                <w:rFonts w:ascii="Calibri" w:eastAsia="Times New Roman" w:hAnsi="Calibri" w:cs="Calibri"/>
                <w:b/>
                <w:i/>
                <w:color w:val="000000"/>
              </w:rPr>
            </w:pPr>
            <w:r w:rsidRPr="006E1631">
              <w:rPr>
                <w:rFonts w:ascii="Calibri" w:eastAsia="Times New Roman" w:hAnsi="Calibri" w:cs="Calibri"/>
                <w:b/>
                <w:i/>
                <w:color w:val="000000"/>
              </w:rPr>
              <w:t>Content Mastery and Graduation</w:t>
            </w:r>
          </w:p>
        </w:tc>
      </w:tr>
      <w:tr w:rsidR="006E1631" w:rsidRPr="006E1631" w:rsidTr="002E27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jc w:val="right"/>
              <w:rPr>
                <w:rFonts w:ascii="Times New Roman" w:eastAsia="Times New Roman" w:hAnsi="Times New Roman" w:cs="Times New Roman"/>
                <w:sz w:val="24"/>
                <w:szCs w:val="24"/>
              </w:rPr>
            </w:pPr>
            <w:r w:rsidRPr="006E1631">
              <w:rPr>
                <w:rFonts w:ascii="Calibri" w:eastAsia="Times New Roman" w:hAnsi="Calibri" w:cs="Calibri"/>
                <w:color w:val="000000"/>
              </w:rPr>
              <w:t>2358</w:t>
            </w:r>
          </w:p>
        </w:tc>
        <w:tc>
          <w:tcPr>
            <w:tcW w:w="9540"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rPr>
                <w:rFonts w:ascii="Times New Roman" w:eastAsia="Times New Roman" w:hAnsi="Times New Roman" w:cs="Times New Roman"/>
                <w:sz w:val="24"/>
                <w:szCs w:val="24"/>
              </w:rPr>
            </w:pPr>
            <w:r w:rsidRPr="006E1631">
              <w:rPr>
                <w:rFonts w:ascii="Calibri" w:eastAsia="Times New Roman" w:hAnsi="Calibri" w:cs="Calibri"/>
                <w:color w:val="000000"/>
              </w:rPr>
              <w:t xml:space="preserve">The school confirms that a student has mastered prerequisite content knowledge before allowing the student to take higher-level courses. </w:t>
            </w:r>
          </w:p>
        </w:tc>
      </w:tr>
      <w:tr w:rsidR="006E1631" w:rsidRPr="006E1631" w:rsidTr="002E27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jc w:val="right"/>
              <w:rPr>
                <w:rFonts w:ascii="Times New Roman" w:eastAsia="Times New Roman" w:hAnsi="Times New Roman" w:cs="Times New Roman"/>
                <w:sz w:val="24"/>
                <w:szCs w:val="24"/>
              </w:rPr>
            </w:pPr>
            <w:r w:rsidRPr="006E1631">
              <w:rPr>
                <w:rFonts w:ascii="Calibri" w:eastAsia="Times New Roman" w:hAnsi="Calibri" w:cs="Calibri"/>
                <w:color w:val="000000"/>
              </w:rPr>
              <w:t>2359</w:t>
            </w:r>
          </w:p>
        </w:tc>
        <w:tc>
          <w:tcPr>
            <w:tcW w:w="9540"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rPr>
                <w:rFonts w:ascii="Times New Roman" w:eastAsia="Times New Roman" w:hAnsi="Times New Roman" w:cs="Times New Roman"/>
                <w:sz w:val="24"/>
                <w:szCs w:val="24"/>
              </w:rPr>
            </w:pPr>
            <w:r w:rsidRPr="006E1631">
              <w:rPr>
                <w:rFonts w:ascii="Calibri" w:eastAsia="Times New Roman" w:hAnsi="Calibri" w:cs="Calibri"/>
                <w:color w:val="000000"/>
              </w:rPr>
              <w:t>All students demonstrating prerequisite content mastery are given access to higher-level courses.</w:t>
            </w:r>
          </w:p>
        </w:tc>
      </w:tr>
      <w:tr w:rsidR="006E1631" w:rsidRPr="006E1631" w:rsidTr="002E27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jc w:val="right"/>
              <w:rPr>
                <w:rFonts w:ascii="Times New Roman" w:eastAsia="Times New Roman" w:hAnsi="Times New Roman" w:cs="Times New Roman"/>
                <w:sz w:val="24"/>
                <w:szCs w:val="24"/>
              </w:rPr>
            </w:pPr>
            <w:r w:rsidRPr="006E1631">
              <w:rPr>
                <w:rFonts w:ascii="Calibri" w:eastAsia="Times New Roman" w:hAnsi="Calibri" w:cs="Calibri"/>
                <w:color w:val="000000"/>
              </w:rPr>
              <w:t>2360</w:t>
            </w:r>
          </w:p>
        </w:tc>
        <w:tc>
          <w:tcPr>
            <w:tcW w:w="9540"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rPr>
                <w:rFonts w:ascii="Times New Roman" w:eastAsia="Times New Roman" w:hAnsi="Times New Roman" w:cs="Times New Roman"/>
                <w:sz w:val="24"/>
                <w:szCs w:val="24"/>
              </w:rPr>
            </w:pPr>
            <w:r w:rsidRPr="006E1631">
              <w:rPr>
                <w:rFonts w:ascii="Calibri" w:eastAsia="Times New Roman" w:hAnsi="Calibri" w:cs="Calibri"/>
                <w:color w:val="000000"/>
              </w:rPr>
              <w:t>The curriculum and schedule provide pathways for all students to acquire missing content knowledge.</w:t>
            </w:r>
          </w:p>
        </w:tc>
      </w:tr>
      <w:tr w:rsidR="006E1631" w:rsidRPr="006E1631" w:rsidTr="002E27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jc w:val="right"/>
              <w:rPr>
                <w:rFonts w:ascii="Times New Roman" w:eastAsia="Times New Roman" w:hAnsi="Times New Roman" w:cs="Times New Roman"/>
                <w:sz w:val="24"/>
                <w:szCs w:val="24"/>
              </w:rPr>
            </w:pPr>
            <w:r w:rsidRPr="006E1631">
              <w:rPr>
                <w:rFonts w:ascii="Calibri" w:eastAsia="Times New Roman" w:hAnsi="Calibri" w:cs="Calibri"/>
                <w:color w:val="000000"/>
              </w:rPr>
              <w:t>2361</w:t>
            </w:r>
          </w:p>
        </w:tc>
        <w:tc>
          <w:tcPr>
            <w:tcW w:w="9540"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rPr>
                <w:rFonts w:ascii="Times New Roman" w:eastAsia="Times New Roman" w:hAnsi="Times New Roman" w:cs="Times New Roman"/>
                <w:sz w:val="24"/>
                <w:szCs w:val="24"/>
              </w:rPr>
            </w:pPr>
            <w:r w:rsidRPr="006E1631">
              <w:rPr>
                <w:rFonts w:ascii="Calibri" w:eastAsia="Times New Roman" w:hAnsi="Calibri" w:cs="Calibri"/>
                <w:color w:val="000000"/>
              </w:rPr>
              <w:t>The school provides all students with academic supports (e.g., tutoring, co-curricular activities, tiered interventions) to keep them on track for graduation.</w:t>
            </w:r>
          </w:p>
        </w:tc>
      </w:tr>
      <w:tr w:rsidR="006E1631" w:rsidRPr="006E1631" w:rsidTr="002E27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jc w:val="right"/>
              <w:rPr>
                <w:rFonts w:ascii="Times New Roman" w:eastAsia="Times New Roman" w:hAnsi="Times New Roman" w:cs="Times New Roman"/>
                <w:sz w:val="24"/>
                <w:szCs w:val="24"/>
              </w:rPr>
            </w:pPr>
            <w:r w:rsidRPr="006E1631">
              <w:rPr>
                <w:rFonts w:ascii="Calibri" w:eastAsia="Times New Roman" w:hAnsi="Calibri" w:cs="Calibri"/>
                <w:color w:val="000000"/>
              </w:rPr>
              <w:t>2362</w:t>
            </w:r>
          </w:p>
        </w:tc>
        <w:tc>
          <w:tcPr>
            <w:tcW w:w="9540"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rPr>
                <w:rFonts w:ascii="Times New Roman" w:eastAsia="Times New Roman" w:hAnsi="Times New Roman" w:cs="Times New Roman"/>
                <w:sz w:val="24"/>
                <w:szCs w:val="24"/>
              </w:rPr>
            </w:pPr>
            <w:r w:rsidRPr="006E1631">
              <w:rPr>
                <w:rFonts w:ascii="Calibri" w:eastAsia="Times New Roman" w:hAnsi="Calibri" w:cs="Calibri"/>
                <w:color w:val="000000"/>
              </w:rPr>
              <w:t>The school provides all students extended learning opportunities (e.g., summer bridge programs, after-school and supplemental educational services, Saturday academies, enrichment programs) to keep them on track for graduation.</w:t>
            </w:r>
          </w:p>
        </w:tc>
      </w:tr>
      <w:tr w:rsidR="006E1631" w:rsidRPr="006E1631" w:rsidTr="002E27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jc w:val="right"/>
              <w:rPr>
                <w:rFonts w:ascii="Times New Roman" w:eastAsia="Times New Roman" w:hAnsi="Times New Roman" w:cs="Times New Roman"/>
                <w:sz w:val="24"/>
                <w:szCs w:val="24"/>
              </w:rPr>
            </w:pPr>
            <w:r w:rsidRPr="006E1631">
              <w:rPr>
                <w:rFonts w:ascii="Calibri" w:eastAsia="Times New Roman" w:hAnsi="Calibri" w:cs="Calibri"/>
                <w:color w:val="000000"/>
              </w:rPr>
              <w:t>2363</w:t>
            </w:r>
          </w:p>
        </w:tc>
        <w:tc>
          <w:tcPr>
            <w:tcW w:w="9540"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rPr>
                <w:rFonts w:ascii="Times New Roman" w:eastAsia="Times New Roman" w:hAnsi="Times New Roman" w:cs="Times New Roman"/>
                <w:sz w:val="24"/>
                <w:szCs w:val="24"/>
              </w:rPr>
            </w:pPr>
            <w:r w:rsidRPr="006E1631">
              <w:rPr>
                <w:rFonts w:ascii="Calibri" w:eastAsia="Times New Roman" w:hAnsi="Calibri" w:cs="Calibri"/>
                <w:color w:val="000000"/>
              </w:rPr>
              <w:t>The school provides all students with opportunities for content and credit recovery that are integrated into the regular school day to keep them on track for graduation.</w:t>
            </w:r>
          </w:p>
        </w:tc>
      </w:tr>
      <w:tr w:rsidR="006E1631" w:rsidRPr="006E1631" w:rsidTr="002E27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BFBFBF" w:themeFill="background1" w:themeFillShade="BF"/>
          </w:tcPr>
          <w:p w:rsidR="006E1631" w:rsidRPr="006E1631" w:rsidRDefault="006E1631" w:rsidP="005362DB">
            <w:pPr>
              <w:spacing w:after="0" w:line="240" w:lineRule="auto"/>
              <w:jc w:val="center"/>
              <w:rPr>
                <w:rFonts w:ascii="Calibri" w:eastAsia="Times New Roman" w:hAnsi="Calibri" w:cs="Calibri"/>
                <w:b/>
                <w:color w:val="000000"/>
              </w:rPr>
            </w:pPr>
          </w:p>
        </w:tc>
        <w:tc>
          <w:tcPr>
            <w:tcW w:w="9540" w:type="dxa"/>
            <w:tcBorders>
              <w:top w:val="outset" w:sz="6" w:space="0" w:color="D0D7E5"/>
              <w:left w:val="outset" w:sz="6" w:space="0" w:color="D0D7E5"/>
              <w:bottom w:val="outset" w:sz="6" w:space="0" w:color="D0D7E5"/>
              <w:right w:val="outset" w:sz="6" w:space="0" w:color="D0D7E5"/>
            </w:tcBorders>
            <w:shd w:val="clear" w:color="auto" w:fill="BFBFBF" w:themeFill="background1" w:themeFillShade="BF"/>
          </w:tcPr>
          <w:p w:rsidR="006E1631" w:rsidRDefault="006E1631" w:rsidP="005362DB">
            <w:pPr>
              <w:spacing w:after="0" w:line="240" w:lineRule="auto"/>
              <w:jc w:val="center"/>
              <w:rPr>
                <w:rFonts w:ascii="Calibri" w:eastAsia="Times New Roman" w:hAnsi="Calibri" w:cs="Calibri"/>
                <w:b/>
                <w:color w:val="000000"/>
              </w:rPr>
            </w:pPr>
            <w:r>
              <w:rPr>
                <w:rFonts w:ascii="Calibri" w:eastAsia="Times New Roman" w:hAnsi="Calibri" w:cs="Calibri"/>
                <w:b/>
                <w:color w:val="000000"/>
              </w:rPr>
              <w:t>Opportunity to Learn</w:t>
            </w:r>
          </w:p>
          <w:p w:rsidR="006E1631" w:rsidRPr="006E1631" w:rsidRDefault="006E1631" w:rsidP="005362DB">
            <w:pPr>
              <w:spacing w:after="0" w:line="240" w:lineRule="auto"/>
              <w:jc w:val="center"/>
              <w:rPr>
                <w:rFonts w:ascii="Calibri" w:eastAsia="Times New Roman" w:hAnsi="Calibri" w:cs="Calibri"/>
                <w:b/>
                <w:i/>
                <w:color w:val="000000"/>
              </w:rPr>
            </w:pPr>
            <w:r>
              <w:rPr>
                <w:rFonts w:ascii="Calibri" w:eastAsia="Times New Roman" w:hAnsi="Calibri" w:cs="Calibri"/>
                <w:b/>
                <w:i/>
                <w:color w:val="000000"/>
              </w:rPr>
              <w:t>Post-Secondary School Options</w:t>
            </w:r>
          </w:p>
        </w:tc>
      </w:tr>
      <w:tr w:rsidR="006E1631" w:rsidRPr="006E1631" w:rsidTr="002E27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jc w:val="right"/>
              <w:rPr>
                <w:rFonts w:ascii="Times New Roman" w:eastAsia="Times New Roman" w:hAnsi="Times New Roman" w:cs="Times New Roman"/>
                <w:sz w:val="24"/>
                <w:szCs w:val="24"/>
              </w:rPr>
            </w:pPr>
            <w:r w:rsidRPr="006E1631">
              <w:rPr>
                <w:rFonts w:ascii="Calibri" w:eastAsia="Times New Roman" w:hAnsi="Calibri" w:cs="Calibri"/>
                <w:color w:val="000000"/>
              </w:rPr>
              <w:t>2364</w:t>
            </w:r>
          </w:p>
        </w:tc>
        <w:tc>
          <w:tcPr>
            <w:tcW w:w="9540"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rPr>
                <w:rFonts w:ascii="Times New Roman" w:eastAsia="Times New Roman" w:hAnsi="Times New Roman" w:cs="Times New Roman"/>
                <w:sz w:val="24"/>
                <w:szCs w:val="24"/>
              </w:rPr>
            </w:pPr>
            <w:r w:rsidRPr="006E1631">
              <w:rPr>
                <w:rFonts w:ascii="Calibri" w:eastAsia="Times New Roman" w:hAnsi="Calibri" w:cs="Calibri"/>
                <w:color w:val="000000"/>
              </w:rPr>
              <w:t>Guidance counselors provide all students with feedback and reports on their assessment results (academic, aptitude, interest) to facilitate student-driven decisions about their own work and college and career goals.</w:t>
            </w:r>
          </w:p>
        </w:tc>
      </w:tr>
      <w:tr w:rsidR="006E1631" w:rsidRPr="006E1631" w:rsidTr="002E27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jc w:val="right"/>
              <w:rPr>
                <w:rFonts w:ascii="Times New Roman" w:eastAsia="Times New Roman" w:hAnsi="Times New Roman" w:cs="Times New Roman"/>
                <w:sz w:val="24"/>
                <w:szCs w:val="24"/>
              </w:rPr>
            </w:pPr>
            <w:r w:rsidRPr="006E1631">
              <w:rPr>
                <w:rFonts w:ascii="Calibri" w:eastAsia="Times New Roman" w:hAnsi="Calibri" w:cs="Calibri"/>
                <w:color w:val="000000"/>
              </w:rPr>
              <w:t>2365</w:t>
            </w:r>
          </w:p>
        </w:tc>
        <w:tc>
          <w:tcPr>
            <w:tcW w:w="9540"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rPr>
                <w:rFonts w:ascii="Times New Roman" w:eastAsia="Times New Roman" w:hAnsi="Times New Roman" w:cs="Times New Roman"/>
                <w:sz w:val="24"/>
                <w:szCs w:val="24"/>
              </w:rPr>
            </w:pPr>
            <w:r w:rsidRPr="006E1631">
              <w:rPr>
                <w:rFonts w:ascii="Calibri" w:eastAsia="Times New Roman" w:hAnsi="Calibri" w:cs="Calibri"/>
                <w:color w:val="000000"/>
              </w:rPr>
              <w:t>The school provides all students with opportunities to enroll in and master rigorous coursework for college and career readiness.</w:t>
            </w:r>
          </w:p>
        </w:tc>
      </w:tr>
      <w:tr w:rsidR="006E1631" w:rsidRPr="006E1631" w:rsidTr="002E27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jc w:val="right"/>
              <w:rPr>
                <w:rFonts w:ascii="Times New Roman" w:eastAsia="Times New Roman" w:hAnsi="Times New Roman" w:cs="Times New Roman"/>
                <w:sz w:val="24"/>
                <w:szCs w:val="24"/>
              </w:rPr>
            </w:pPr>
            <w:r w:rsidRPr="006E1631">
              <w:rPr>
                <w:rFonts w:ascii="Calibri" w:eastAsia="Times New Roman" w:hAnsi="Calibri" w:cs="Calibri"/>
                <w:color w:val="000000"/>
              </w:rPr>
              <w:t>2366</w:t>
            </w:r>
          </w:p>
        </w:tc>
        <w:tc>
          <w:tcPr>
            <w:tcW w:w="9540"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rPr>
                <w:rFonts w:ascii="Times New Roman" w:eastAsia="Times New Roman" w:hAnsi="Times New Roman" w:cs="Times New Roman"/>
                <w:sz w:val="24"/>
                <w:szCs w:val="24"/>
              </w:rPr>
            </w:pPr>
            <w:r w:rsidRPr="006E1631">
              <w:rPr>
                <w:rFonts w:ascii="Calibri" w:eastAsia="Times New Roman" w:hAnsi="Calibri" w:cs="Calibri"/>
                <w:color w:val="000000"/>
              </w:rPr>
              <w:t>The school provides all students with academic supports (e.g., supplemental interventions) when needed to enable them to succeed in rigorous courses designed for college and career readiness.</w:t>
            </w:r>
          </w:p>
        </w:tc>
      </w:tr>
      <w:tr w:rsidR="006E1631" w:rsidRPr="006E1631" w:rsidTr="002E27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jc w:val="right"/>
              <w:rPr>
                <w:rFonts w:ascii="Times New Roman" w:eastAsia="Times New Roman" w:hAnsi="Times New Roman" w:cs="Times New Roman"/>
                <w:sz w:val="24"/>
                <w:szCs w:val="24"/>
              </w:rPr>
            </w:pPr>
            <w:r w:rsidRPr="006E1631">
              <w:rPr>
                <w:rFonts w:ascii="Calibri" w:eastAsia="Times New Roman" w:hAnsi="Calibri" w:cs="Calibri"/>
                <w:color w:val="000000"/>
              </w:rPr>
              <w:t>2367</w:t>
            </w:r>
          </w:p>
        </w:tc>
        <w:tc>
          <w:tcPr>
            <w:tcW w:w="9540"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rPr>
                <w:rFonts w:ascii="Times New Roman" w:eastAsia="Times New Roman" w:hAnsi="Times New Roman" w:cs="Times New Roman"/>
                <w:sz w:val="24"/>
                <w:szCs w:val="24"/>
              </w:rPr>
            </w:pPr>
            <w:r w:rsidRPr="006E1631">
              <w:rPr>
                <w:rFonts w:ascii="Calibri" w:eastAsia="Times New Roman" w:hAnsi="Calibri" w:cs="Calibri"/>
                <w:color w:val="000000"/>
              </w:rPr>
              <w:t>The school provides all students with supports and guidance to prepare them for college and careers (e.g., career awareness activities, career exploration, college visits, advising).</w:t>
            </w:r>
          </w:p>
        </w:tc>
      </w:tr>
      <w:tr w:rsidR="006E1631" w:rsidRPr="006E1631" w:rsidTr="002E27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jc w:val="right"/>
              <w:rPr>
                <w:rFonts w:ascii="Times New Roman" w:eastAsia="Times New Roman" w:hAnsi="Times New Roman" w:cs="Times New Roman"/>
                <w:sz w:val="24"/>
                <w:szCs w:val="24"/>
              </w:rPr>
            </w:pPr>
            <w:r w:rsidRPr="006E1631">
              <w:rPr>
                <w:rFonts w:ascii="Calibri" w:eastAsia="Times New Roman" w:hAnsi="Calibri" w:cs="Calibri"/>
                <w:color w:val="000000"/>
              </w:rPr>
              <w:t>2368</w:t>
            </w:r>
          </w:p>
        </w:tc>
        <w:tc>
          <w:tcPr>
            <w:tcW w:w="9540"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rPr>
                <w:rFonts w:ascii="Times New Roman" w:eastAsia="Times New Roman" w:hAnsi="Times New Roman" w:cs="Times New Roman"/>
                <w:sz w:val="24"/>
                <w:szCs w:val="24"/>
              </w:rPr>
            </w:pPr>
            <w:r w:rsidRPr="006E1631">
              <w:rPr>
                <w:rFonts w:ascii="Calibri" w:eastAsia="Times New Roman" w:hAnsi="Calibri" w:cs="Calibri"/>
                <w:color w:val="000000"/>
              </w:rPr>
              <w:t>All teachers integrate college and career guidance and supports relevant to their subject areas into their taught curricula.</w:t>
            </w:r>
          </w:p>
        </w:tc>
      </w:tr>
      <w:tr w:rsidR="006E1631" w:rsidRPr="006E1631" w:rsidTr="002E27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jc w:val="right"/>
              <w:rPr>
                <w:rFonts w:ascii="Times New Roman" w:eastAsia="Times New Roman" w:hAnsi="Times New Roman" w:cs="Times New Roman"/>
                <w:sz w:val="24"/>
                <w:szCs w:val="24"/>
              </w:rPr>
            </w:pPr>
            <w:r w:rsidRPr="006E1631">
              <w:rPr>
                <w:rFonts w:ascii="Calibri" w:eastAsia="Times New Roman" w:hAnsi="Calibri" w:cs="Calibri"/>
                <w:color w:val="000000"/>
              </w:rPr>
              <w:t>2369</w:t>
            </w:r>
          </w:p>
        </w:tc>
        <w:tc>
          <w:tcPr>
            <w:tcW w:w="9540"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rPr>
                <w:rFonts w:ascii="Times New Roman" w:eastAsia="Times New Roman" w:hAnsi="Times New Roman" w:cs="Times New Roman"/>
                <w:sz w:val="24"/>
                <w:szCs w:val="24"/>
              </w:rPr>
            </w:pPr>
            <w:r w:rsidRPr="006E1631">
              <w:rPr>
                <w:rFonts w:ascii="Calibri" w:eastAsia="Times New Roman" w:hAnsi="Calibri" w:cs="Calibri"/>
                <w:color w:val="000000"/>
              </w:rPr>
              <w:t xml:space="preserve">The school routinely provides all students with information and experience in a variety of career </w:t>
            </w:r>
            <w:r w:rsidRPr="006E1631">
              <w:rPr>
                <w:rFonts w:ascii="Calibri" w:eastAsia="Times New Roman" w:hAnsi="Calibri" w:cs="Calibri"/>
                <w:color w:val="000000"/>
              </w:rPr>
              <w:lastRenderedPageBreak/>
              <w:t>pathways.</w:t>
            </w:r>
          </w:p>
        </w:tc>
      </w:tr>
      <w:tr w:rsidR="006E1631" w:rsidRPr="006E1631" w:rsidTr="002E27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jc w:val="right"/>
              <w:rPr>
                <w:rFonts w:ascii="Times New Roman" w:eastAsia="Times New Roman" w:hAnsi="Times New Roman" w:cs="Times New Roman"/>
                <w:sz w:val="24"/>
                <w:szCs w:val="24"/>
              </w:rPr>
            </w:pPr>
            <w:r w:rsidRPr="006E1631">
              <w:rPr>
                <w:rFonts w:ascii="Calibri" w:eastAsia="Times New Roman" w:hAnsi="Calibri" w:cs="Calibri"/>
                <w:color w:val="000000"/>
              </w:rPr>
              <w:lastRenderedPageBreak/>
              <w:t>2370</w:t>
            </w:r>
          </w:p>
        </w:tc>
        <w:tc>
          <w:tcPr>
            <w:tcW w:w="9540"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rPr>
                <w:rFonts w:ascii="Times New Roman" w:eastAsia="Times New Roman" w:hAnsi="Times New Roman" w:cs="Times New Roman"/>
                <w:sz w:val="24"/>
                <w:szCs w:val="24"/>
              </w:rPr>
            </w:pPr>
            <w:r w:rsidRPr="006E1631">
              <w:rPr>
                <w:rFonts w:ascii="Calibri" w:eastAsia="Times New Roman" w:hAnsi="Calibri" w:cs="Calibri"/>
                <w:color w:val="000000"/>
              </w:rPr>
              <w:t>The school provides all students with access to relevant data to make decisions about their course of study as they progress toward their college and career goals.</w:t>
            </w:r>
          </w:p>
        </w:tc>
      </w:tr>
      <w:tr w:rsidR="006E1631" w:rsidRPr="006E1631" w:rsidTr="002E27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jc w:val="right"/>
              <w:rPr>
                <w:rFonts w:ascii="Times New Roman" w:eastAsia="Times New Roman" w:hAnsi="Times New Roman" w:cs="Times New Roman"/>
                <w:sz w:val="24"/>
                <w:szCs w:val="24"/>
              </w:rPr>
            </w:pPr>
            <w:r w:rsidRPr="006E1631">
              <w:rPr>
                <w:rFonts w:ascii="Calibri" w:eastAsia="Times New Roman" w:hAnsi="Calibri" w:cs="Calibri"/>
                <w:color w:val="000000"/>
              </w:rPr>
              <w:t>2371</w:t>
            </w:r>
          </w:p>
        </w:tc>
        <w:tc>
          <w:tcPr>
            <w:tcW w:w="9540"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rPr>
                <w:rFonts w:ascii="Times New Roman" w:eastAsia="Times New Roman" w:hAnsi="Times New Roman" w:cs="Times New Roman"/>
                <w:sz w:val="24"/>
                <w:szCs w:val="24"/>
              </w:rPr>
            </w:pPr>
            <w:r w:rsidRPr="006E1631">
              <w:rPr>
                <w:rFonts w:ascii="Calibri" w:eastAsia="Times New Roman" w:hAnsi="Calibri" w:cs="Calibri"/>
                <w:color w:val="000000"/>
              </w:rPr>
              <w:t>The school provides all students with information, guidance, and support to secure financial assistance and scholarships for college or other post-secondary education.</w:t>
            </w:r>
          </w:p>
        </w:tc>
      </w:tr>
      <w:tr w:rsidR="006E1631" w:rsidRPr="006E1631" w:rsidTr="002E27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BFBFBF" w:themeFill="background1" w:themeFillShade="BF"/>
          </w:tcPr>
          <w:p w:rsidR="006E1631" w:rsidRPr="006E1631" w:rsidRDefault="006E1631" w:rsidP="005362DB">
            <w:pPr>
              <w:spacing w:after="0" w:line="240" w:lineRule="auto"/>
              <w:jc w:val="center"/>
              <w:rPr>
                <w:rFonts w:ascii="Calibri" w:eastAsia="Times New Roman" w:hAnsi="Calibri" w:cs="Calibri"/>
                <w:b/>
                <w:color w:val="000000"/>
              </w:rPr>
            </w:pPr>
          </w:p>
        </w:tc>
        <w:tc>
          <w:tcPr>
            <w:tcW w:w="9540" w:type="dxa"/>
            <w:tcBorders>
              <w:top w:val="outset" w:sz="6" w:space="0" w:color="D0D7E5"/>
              <w:left w:val="outset" w:sz="6" w:space="0" w:color="D0D7E5"/>
              <w:bottom w:val="outset" w:sz="6" w:space="0" w:color="D0D7E5"/>
              <w:right w:val="outset" w:sz="6" w:space="0" w:color="D0D7E5"/>
            </w:tcBorders>
            <w:shd w:val="clear" w:color="auto" w:fill="BFBFBF" w:themeFill="background1" w:themeFillShade="BF"/>
          </w:tcPr>
          <w:p w:rsidR="006E1631" w:rsidRDefault="006E1631" w:rsidP="005362DB">
            <w:pPr>
              <w:spacing w:after="0" w:line="240" w:lineRule="auto"/>
              <w:jc w:val="center"/>
              <w:rPr>
                <w:rFonts w:ascii="Calibri" w:eastAsia="Times New Roman" w:hAnsi="Calibri" w:cs="Calibri"/>
                <w:b/>
                <w:color w:val="000000"/>
              </w:rPr>
            </w:pPr>
            <w:r>
              <w:rPr>
                <w:rFonts w:ascii="Calibri" w:eastAsia="Times New Roman" w:hAnsi="Calibri" w:cs="Calibri"/>
                <w:b/>
                <w:color w:val="000000"/>
              </w:rPr>
              <w:t>Opportunity to Learn</w:t>
            </w:r>
          </w:p>
          <w:p w:rsidR="006E1631" w:rsidRPr="006E1631" w:rsidRDefault="006E1631" w:rsidP="005362DB">
            <w:pPr>
              <w:spacing w:after="0" w:line="240" w:lineRule="auto"/>
              <w:jc w:val="center"/>
              <w:rPr>
                <w:rFonts w:ascii="Calibri" w:eastAsia="Times New Roman" w:hAnsi="Calibri" w:cs="Calibri"/>
                <w:b/>
                <w:i/>
                <w:color w:val="000000"/>
              </w:rPr>
            </w:pPr>
            <w:r>
              <w:rPr>
                <w:rFonts w:ascii="Calibri" w:eastAsia="Times New Roman" w:hAnsi="Calibri" w:cs="Calibri"/>
                <w:b/>
                <w:i/>
                <w:color w:val="000000"/>
              </w:rPr>
              <w:t>Extended Learning Opportunities</w:t>
            </w:r>
          </w:p>
        </w:tc>
      </w:tr>
      <w:tr w:rsidR="006E1631" w:rsidRPr="006E1631" w:rsidTr="002E27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jc w:val="right"/>
              <w:rPr>
                <w:rFonts w:ascii="Times New Roman" w:eastAsia="Times New Roman" w:hAnsi="Times New Roman" w:cs="Times New Roman"/>
                <w:sz w:val="24"/>
                <w:szCs w:val="24"/>
              </w:rPr>
            </w:pPr>
            <w:r w:rsidRPr="006E1631">
              <w:rPr>
                <w:rFonts w:ascii="Calibri" w:eastAsia="Times New Roman" w:hAnsi="Calibri" w:cs="Calibri"/>
                <w:color w:val="000000"/>
              </w:rPr>
              <w:t>2372</w:t>
            </w:r>
          </w:p>
        </w:tc>
        <w:tc>
          <w:tcPr>
            <w:tcW w:w="9540"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rPr>
                <w:rFonts w:ascii="Times New Roman" w:eastAsia="Times New Roman" w:hAnsi="Times New Roman" w:cs="Times New Roman"/>
                <w:sz w:val="24"/>
                <w:szCs w:val="24"/>
              </w:rPr>
            </w:pPr>
            <w:r w:rsidRPr="006E1631">
              <w:rPr>
                <w:rFonts w:ascii="Calibri" w:eastAsia="Times New Roman" w:hAnsi="Calibri" w:cs="Calibri"/>
                <w:color w:val="000000"/>
              </w:rPr>
              <w:t>The school expects all students to participate in activities to develop skills outside of the classroom (e.g., service learning, athletics, enrichment, internships).</w:t>
            </w:r>
          </w:p>
        </w:tc>
      </w:tr>
      <w:tr w:rsidR="006E1631" w:rsidRPr="006E1631" w:rsidTr="002E27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jc w:val="right"/>
              <w:rPr>
                <w:rFonts w:ascii="Times New Roman" w:eastAsia="Times New Roman" w:hAnsi="Times New Roman" w:cs="Times New Roman"/>
                <w:sz w:val="24"/>
                <w:szCs w:val="24"/>
              </w:rPr>
            </w:pPr>
            <w:r w:rsidRPr="006E1631">
              <w:rPr>
                <w:rFonts w:ascii="Calibri" w:eastAsia="Times New Roman" w:hAnsi="Calibri" w:cs="Calibri"/>
                <w:color w:val="000000"/>
              </w:rPr>
              <w:t>2373</w:t>
            </w:r>
          </w:p>
        </w:tc>
        <w:tc>
          <w:tcPr>
            <w:tcW w:w="9540"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rPr>
                <w:rFonts w:ascii="Times New Roman" w:eastAsia="Times New Roman" w:hAnsi="Times New Roman" w:cs="Times New Roman"/>
                <w:sz w:val="24"/>
                <w:szCs w:val="24"/>
              </w:rPr>
            </w:pPr>
            <w:r w:rsidRPr="006E1631">
              <w:rPr>
                <w:rFonts w:ascii="Calibri" w:eastAsia="Times New Roman" w:hAnsi="Calibri" w:cs="Calibri"/>
                <w:color w:val="000000"/>
              </w:rPr>
              <w:t xml:space="preserve">The school provides all students with opportunities to learn through nontraditional educational settings (e.g., virtual courses, dual enrollment, service learning, </w:t>
            </w:r>
            <w:proofErr w:type="gramStart"/>
            <w:r w:rsidRPr="006E1631">
              <w:rPr>
                <w:rFonts w:ascii="Calibri" w:eastAsia="Times New Roman" w:hAnsi="Calibri" w:cs="Calibri"/>
                <w:color w:val="000000"/>
              </w:rPr>
              <w:t>work</w:t>
            </w:r>
            <w:proofErr w:type="gramEnd"/>
            <w:r w:rsidRPr="006E1631">
              <w:rPr>
                <w:rFonts w:ascii="Calibri" w:eastAsia="Times New Roman" w:hAnsi="Calibri" w:cs="Calibri"/>
                <w:color w:val="000000"/>
              </w:rPr>
              <w:t>-based internships).</w:t>
            </w:r>
          </w:p>
        </w:tc>
      </w:tr>
      <w:tr w:rsidR="006E1631" w:rsidRPr="006E1631" w:rsidTr="002E27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jc w:val="right"/>
              <w:rPr>
                <w:rFonts w:ascii="Times New Roman" w:eastAsia="Times New Roman" w:hAnsi="Times New Roman" w:cs="Times New Roman"/>
                <w:sz w:val="24"/>
                <w:szCs w:val="24"/>
              </w:rPr>
            </w:pPr>
            <w:r w:rsidRPr="006E1631">
              <w:rPr>
                <w:rFonts w:ascii="Calibri" w:eastAsia="Times New Roman" w:hAnsi="Calibri" w:cs="Calibri"/>
                <w:color w:val="000000"/>
              </w:rPr>
              <w:t>2374</w:t>
            </w:r>
          </w:p>
        </w:tc>
        <w:tc>
          <w:tcPr>
            <w:tcW w:w="9540"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rPr>
                <w:rFonts w:ascii="Times New Roman" w:eastAsia="Times New Roman" w:hAnsi="Times New Roman" w:cs="Times New Roman"/>
                <w:sz w:val="24"/>
                <w:szCs w:val="24"/>
              </w:rPr>
            </w:pPr>
            <w:r w:rsidRPr="006E1631">
              <w:rPr>
                <w:rFonts w:ascii="Calibri" w:eastAsia="Times New Roman" w:hAnsi="Calibri" w:cs="Calibri"/>
                <w:color w:val="000000"/>
              </w:rPr>
              <w:t>The school provides all students with formal supports and a network of contacts with school personnel, community members, and workplace personnel to ensure the social capital necessary to make informed life decisions.</w:t>
            </w:r>
          </w:p>
        </w:tc>
      </w:tr>
      <w:tr w:rsidR="006E1631" w:rsidRPr="006E1631" w:rsidTr="002E27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BFBFBF" w:themeFill="background1" w:themeFillShade="BF"/>
          </w:tcPr>
          <w:p w:rsidR="006E1631" w:rsidRPr="006E1631" w:rsidRDefault="006E1631" w:rsidP="005362DB">
            <w:pPr>
              <w:spacing w:after="0" w:line="240" w:lineRule="auto"/>
              <w:jc w:val="center"/>
              <w:rPr>
                <w:rFonts w:ascii="Calibri" w:eastAsia="Times New Roman" w:hAnsi="Calibri" w:cs="Calibri"/>
                <w:b/>
                <w:color w:val="000000"/>
              </w:rPr>
            </w:pPr>
          </w:p>
        </w:tc>
        <w:tc>
          <w:tcPr>
            <w:tcW w:w="9540" w:type="dxa"/>
            <w:tcBorders>
              <w:top w:val="outset" w:sz="6" w:space="0" w:color="D0D7E5"/>
              <w:left w:val="outset" w:sz="6" w:space="0" w:color="D0D7E5"/>
              <w:bottom w:val="outset" w:sz="6" w:space="0" w:color="D0D7E5"/>
              <w:right w:val="outset" w:sz="6" w:space="0" w:color="D0D7E5"/>
            </w:tcBorders>
            <w:shd w:val="clear" w:color="auto" w:fill="BFBFBF" w:themeFill="background1" w:themeFillShade="BF"/>
          </w:tcPr>
          <w:p w:rsidR="006E1631" w:rsidRDefault="006E1631" w:rsidP="005362DB">
            <w:pPr>
              <w:spacing w:after="0" w:line="240" w:lineRule="auto"/>
              <w:jc w:val="center"/>
              <w:rPr>
                <w:rFonts w:ascii="Calibri" w:eastAsia="Times New Roman" w:hAnsi="Calibri" w:cs="Calibri"/>
                <w:b/>
                <w:color w:val="000000"/>
              </w:rPr>
            </w:pPr>
            <w:r>
              <w:rPr>
                <w:rFonts w:ascii="Calibri" w:eastAsia="Times New Roman" w:hAnsi="Calibri" w:cs="Calibri"/>
                <w:b/>
                <w:color w:val="000000"/>
              </w:rPr>
              <w:t>Opportunity to Learn</w:t>
            </w:r>
          </w:p>
          <w:p w:rsidR="006E1631" w:rsidRPr="006E1631" w:rsidRDefault="006E1631" w:rsidP="005362DB">
            <w:pPr>
              <w:spacing w:after="0" w:line="240" w:lineRule="auto"/>
              <w:jc w:val="center"/>
              <w:rPr>
                <w:rFonts w:ascii="Calibri" w:eastAsia="Times New Roman" w:hAnsi="Calibri" w:cs="Calibri"/>
                <w:b/>
                <w:i/>
                <w:color w:val="000000"/>
              </w:rPr>
            </w:pPr>
            <w:r>
              <w:rPr>
                <w:rFonts w:ascii="Calibri" w:eastAsia="Times New Roman" w:hAnsi="Calibri" w:cs="Calibri"/>
                <w:b/>
                <w:i/>
                <w:color w:val="000000"/>
              </w:rPr>
              <w:t>Transitions</w:t>
            </w:r>
          </w:p>
        </w:tc>
      </w:tr>
      <w:tr w:rsidR="006E1631" w:rsidRPr="006E1631" w:rsidTr="002E27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jc w:val="right"/>
              <w:rPr>
                <w:rFonts w:ascii="Times New Roman" w:eastAsia="Times New Roman" w:hAnsi="Times New Roman" w:cs="Times New Roman"/>
                <w:sz w:val="24"/>
                <w:szCs w:val="24"/>
              </w:rPr>
            </w:pPr>
            <w:r w:rsidRPr="006E1631">
              <w:rPr>
                <w:rFonts w:ascii="Calibri" w:eastAsia="Times New Roman" w:hAnsi="Calibri" w:cs="Calibri"/>
                <w:color w:val="000000"/>
              </w:rPr>
              <w:t>2375</w:t>
            </w:r>
          </w:p>
        </w:tc>
        <w:tc>
          <w:tcPr>
            <w:tcW w:w="9540"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rPr>
                <w:rFonts w:ascii="Times New Roman" w:eastAsia="Times New Roman" w:hAnsi="Times New Roman" w:cs="Times New Roman"/>
                <w:sz w:val="24"/>
                <w:szCs w:val="24"/>
              </w:rPr>
            </w:pPr>
            <w:r w:rsidRPr="006E1631">
              <w:rPr>
                <w:rFonts w:ascii="Calibri" w:eastAsia="Times New Roman" w:hAnsi="Calibri" w:cs="Calibri"/>
                <w:color w:val="000000"/>
              </w:rPr>
              <w:t>The school provides freshman students with formal supports as they make the transition to high school (e.g., summer bridge programs, freshman academies).</w:t>
            </w:r>
          </w:p>
        </w:tc>
      </w:tr>
      <w:tr w:rsidR="006E1631" w:rsidRPr="006E1631" w:rsidTr="002E27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jc w:val="right"/>
              <w:rPr>
                <w:rFonts w:ascii="Times New Roman" w:eastAsia="Times New Roman" w:hAnsi="Times New Roman" w:cs="Times New Roman"/>
                <w:sz w:val="24"/>
                <w:szCs w:val="24"/>
              </w:rPr>
            </w:pPr>
            <w:r w:rsidRPr="006E1631">
              <w:rPr>
                <w:rFonts w:ascii="Calibri" w:eastAsia="Times New Roman" w:hAnsi="Calibri" w:cs="Calibri"/>
                <w:color w:val="000000"/>
              </w:rPr>
              <w:t>2376</w:t>
            </w:r>
          </w:p>
        </w:tc>
        <w:tc>
          <w:tcPr>
            <w:tcW w:w="9540"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rPr>
                <w:rFonts w:ascii="Times New Roman" w:eastAsia="Times New Roman" w:hAnsi="Times New Roman" w:cs="Times New Roman"/>
                <w:sz w:val="24"/>
                <w:szCs w:val="24"/>
              </w:rPr>
            </w:pPr>
            <w:r w:rsidRPr="006E1631">
              <w:rPr>
                <w:rFonts w:ascii="Calibri" w:eastAsia="Times New Roman" w:hAnsi="Calibri" w:cs="Calibri"/>
                <w:color w:val="000000"/>
              </w:rPr>
              <w:t>The school provides senior students with formal supports as they make the transition out of high school (e.g., college and career planning, job fairs).</w:t>
            </w:r>
          </w:p>
        </w:tc>
      </w:tr>
      <w:tr w:rsidR="006E1631" w:rsidRPr="006E1631" w:rsidTr="002E279B">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jc w:val="right"/>
              <w:rPr>
                <w:rFonts w:ascii="Times New Roman" w:eastAsia="Times New Roman" w:hAnsi="Times New Roman" w:cs="Times New Roman"/>
                <w:sz w:val="24"/>
                <w:szCs w:val="24"/>
              </w:rPr>
            </w:pPr>
            <w:r w:rsidRPr="006E1631">
              <w:rPr>
                <w:rFonts w:ascii="Calibri" w:eastAsia="Times New Roman" w:hAnsi="Calibri" w:cs="Calibri"/>
                <w:color w:val="000000"/>
              </w:rPr>
              <w:t>2377</w:t>
            </w:r>
          </w:p>
        </w:tc>
        <w:tc>
          <w:tcPr>
            <w:tcW w:w="9540" w:type="dxa"/>
            <w:tcBorders>
              <w:top w:val="outset" w:sz="6" w:space="0" w:color="D0D7E5"/>
              <w:left w:val="outset" w:sz="6" w:space="0" w:color="D0D7E5"/>
              <w:bottom w:val="outset" w:sz="6" w:space="0" w:color="D0D7E5"/>
              <w:right w:val="outset" w:sz="6" w:space="0" w:color="D0D7E5"/>
            </w:tcBorders>
            <w:shd w:val="clear" w:color="auto" w:fill="FFFFFF"/>
            <w:hideMark/>
          </w:tcPr>
          <w:p w:rsidR="006E1631" w:rsidRPr="006E1631" w:rsidRDefault="006E1631" w:rsidP="006E1631">
            <w:pPr>
              <w:spacing w:after="0" w:line="240" w:lineRule="auto"/>
              <w:rPr>
                <w:rFonts w:ascii="Times New Roman" w:eastAsia="Times New Roman" w:hAnsi="Times New Roman" w:cs="Times New Roman"/>
                <w:sz w:val="24"/>
                <w:szCs w:val="24"/>
              </w:rPr>
            </w:pPr>
            <w:r w:rsidRPr="006E1631">
              <w:rPr>
                <w:rFonts w:ascii="Calibri" w:eastAsia="Times New Roman" w:hAnsi="Calibri" w:cs="Calibri"/>
                <w:color w:val="000000"/>
              </w:rPr>
              <w:t>The school tracks the post-secondary school placements and experiences of their graduates and reports the results to the school board, faculty, and school community.</w:t>
            </w:r>
          </w:p>
        </w:tc>
      </w:tr>
    </w:tbl>
    <w:p w:rsidR="002101F5" w:rsidRDefault="002E279B"/>
    <w:sectPr w:rsidR="002101F5" w:rsidSect="006E163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79B" w:rsidRDefault="002E279B" w:rsidP="002E279B">
      <w:pPr>
        <w:spacing w:after="0" w:line="240" w:lineRule="auto"/>
      </w:pPr>
      <w:r>
        <w:separator/>
      </w:r>
    </w:p>
  </w:endnote>
  <w:endnote w:type="continuationSeparator" w:id="0">
    <w:p w:rsidR="002E279B" w:rsidRDefault="002E279B" w:rsidP="002E2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79B" w:rsidRDefault="002E279B" w:rsidP="002E279B">
      <w:pPr>
        <w:spacing w:after="0" w:line="240" w:lineRule="auto"/>
      </w:pPr>
      <w:r>
        <w:separator/>
      </w:r>
    </w:p>
  </w:footnote>
  <w:footnote w:type="continuationSeparator" w:id="0">
    <w:p w:rsidR="002E279B" w:rsidRDefault="002E279B" w:rsidP="002E2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9B" w:rsidRDefault="002E279B">
    <w:pPr>
      <w:pStyle w:val="Header"/>
    </w:pPr>
    <w:r>
      <w:rPr>
        <w:rFonts w:ascii="Verdana" w:hAnsi="Verdana"/>
        <w:noProof/>
        <w:sz w:val="18"/>
        <w:szCs w:val="18"/>
      </w:rPr>
      <w:drawing>
        <wp:inline distT="0" distB="0" distL="0" distR="0">
          <wp:extent cx="6858000" cy="1031443"/>
          <wp:effectExtent l="0" t="0" r="0" b="0"/>
          <wp:docPr id="1" name="Picture 1" descr="http://www.centerii.org/SchoolRestructuring/LogoImage/X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go" descr="http://www.centerii.org/SchoolRestructuring/LogoImage/XX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03144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31"/>
    <w:rsid w:val="002E279B"/>
    <w:rsid w:val="004112AF"/>
    <w:rsid w:val="006E1631"/>
    <w:rsid w:val="009F1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631"/>
    <w:rPr>
      <w:rFonts w:ascii="Tahoma" w:hAnsi="Tahoma" w:cs="Tahoma"/>
      <w:sz w:val="16"/>
      <w:szCs w:val="16"/>
    </w:rPr>
  </w:style>
  <w:style w:type="paragraph" w:styleId="Header">
    <w:name w:val="header"/>
    <w:basedOn w:val="Normal"/>
    <w:link w:val="HeaderChar"/>
    <w:uiPriority w:val="99"/>
    <w:unhideWhenUsed/>
    <w:rsid w:val="002E2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79B"/>
  </w:style>
  <w:style w:type="paragraph" w:styleId="Footer">
    <w:name w:val="footer"/>
    <w:basedOn w:val="Normal"/>
    <w:link w:val="FooterChar"/>
    <w:uiPriority w:val="99"/>
    <w:unhideWhenUsed/>
    <w:rsid w:val="002E2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631"/>
    <w:rPr>
      <w:rFonts w:ascii="Tahoma" w:hAnsi="Tahoma" w:cs="Tahoma"/>
      <w:sz w:val="16"/>
      <w:szCs w:val="16"/>
    </w:rPr>
  </w:style>
  <w:style w:type="paragraph" w:styleId="Header">
    <w:name w:val="header"/>
    <w:basedOn w:val="Normal"/>
    <w:link w:val="HeaderChar"/>
    <w:uiPriority w:val="99"/>
    <w:unhideWhenUsed/>
    <w:rsid w:val="002E2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79B"/>
  </w:style>
  <w:style w:type="paragraph" w:styleId="Footer">
    <w:name w:val="footer"/>
    <w:basedOn w:val="Normal"/>
    <w:link w:val="FooterChar"/>
    <w:uiPriority w:val="99"/>
    <w:unhideWhenUsed/>
    <w:rsid w:val="002E2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Academic Development Institute</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Benedict</dc:creator>
  <cp:lastModifiedBy>Stephanie Benedict</cp:lastModifiedBy>
  <cp:revision>2</cp:revision>
  <cp:lastPrinted>2013-01-04T14:30:00Z</cp:lastPrinted>
  <dcterms:created xsi:type="dcterms:W3CDTF">2013-01-04T14:24:00Z</dcterms:created>
  <dcterms:modified xsi:type="dcterms:W3CDTF">2013-02-21T17:56:00Z</dcterms:modified>
</cp:coreProperties>
</file>